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8DA2D" w14:textId="77777777" w:rsidR="00137CA5" w:rsidRDefault="00137C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Abschnitt 4: „Koordination der Belange des Arbeits- und Gesundheitsschutzes in der Planungsphase“</w:t>
      </w:r>
    </w:p>
    <w:p w14:paraId="562B7637" w14:textId="77777777" w:rsidR="00895E9A" w:rsidRDefault="00895E9A">
      <w:pPr>
        <w:rPr>
          <w:rFonts w:ascii="Arial" w:hAnsi="Arial" w:cs="Arial"/>
          <w:b/>
          <w:bCs/>
        </w:rPr>
      </w:pPr>
    </w:p>
    <w:tbl>
      <w:tblPr>
        <w:tblW w:w="14682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822"/>
        <w:gridCol w:w="3420"/>
        <w:gridCol w:w="3060"/>
        <w:gridCol w:w="7380"/>
      </w:tblGrid>
      <w:tr w:rsidR="00137CA5" w14:paraId="5D1DBD82" w14:textId="77777777">
        <w:trPr>
          <w:cantSplit/>
          <w:trHeight w:val="567"/>
          <w:tblHeader/>
        </w:trPr>
        <w:tc>
          <w:tcPr>
            <w:tcW w:w="822" w:type="dxa"/>
            <w:shd w:val="pct20" w:color="auto" w:fill="auto"/>
            <w:vAlign w:val="center"/>
          </w:tcPr>
          <w:p w14:paraId="69C6F9FD" w14:textId="77777777" w:rsidR="00137CA5" w:rsidRDefault="00137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420" w:type="dxa"/>
            <w:shd w:val="pct20" w:color="auto" w:fill="auto"/>
            <w:vAlign w:val="center"/>
          </w:tcPr>
          <w:p w14:paraId="117152AD" w14:textId="77777777" w:rsidR="00137CA5" w:rsidRDefault="00137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Regelleistung</w:t>
            </w:r>
          </w:p>
        </w:tc>
        <w:tc>
          <w:tcPr>
            <w:tcW w:w="3060" w:type="dxa"/>
            <w:shd w:val="pct20" w:color="auto" w:fill="auto"/>
            <w:vAlign w:val="center"/>
          </w:tcPr>
          <w:p w14:paraId="437D82AD" w14:textId="77777777" w:rsidR="00137CA5" w:rsidRDefault="00137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Eventualleistung</w:t>
            </w:r>
          </w:p>
        </w:tc>
        <w:tc>
          <w:tcPr>
            <w:tcW w:w="7380" w:type="dxa"/>
            <w:shd w:val="pct20" w:color="auto" w:fill="auto"/>
            <w:vAlign w:val="center"/>
          </w:tcPr>
          <w:p w14:paraId="410AF9CB" w14:textId="77777777" w:rsidR="00137CA5" w:rsidRDefault="00137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Erläuterung</w:t>
            </w:r>
          </w:p>
        </w:tc>
      </w:tr>
      <w:tr w:rsidR="00137CA5" w14:paraId="5590EC62" w14:textId="77777777">
        <w:trPr>
          <w:cantSplit/>
          <w:trHeight w:val="433"/>
        </w:trPr>
        <w:tc>
          <w:tcPr>
            <w:tcW w:w="14682" w:type="dxa"/>
            <w:gridSpan w:val="4"/>
            <w:vAlign w:val="center"/>
          </w:tcPr>
          <w:p w14:paraId="58FBF91E" w14:textId="77777777" w:rsidR="00137CA5" w:rsidRDefault="00137CA5">
            <w:pPr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„Koordination der Belange des Arbeits- und Gesundheitsschutzes in der Planungsphase“</w:t>
            </w:r>
          </w:p>
        </w:tc>
      </w:tr>
      <w:tr w:rsidR="00137CA5" w14:paraId="6A581DB6" w14:textId="77777777">
        <w:trPr>
          <w:cantSplit/>
          <w:trHeight w:val="402"/>
        </w:trPr>
        <w:tc>
          <w:tcPr>
            <w:tcW w:w="822" w:type="dxa"/>
            <w:vAlign w:val="center"/>
          </w:tcPr>
          <w:p w14:paraId="33C94870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3420" w:type="dxa"/>
            <w:vAlign w:val="center"/>
          </w:tcPr>
          <w:p w14:paraId="4BECCC8D" w14:textId="77777777" w:rsidR="00137CA5" w:rsidRDefault="00137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6700B39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der Planung</w:t>
            </w:r>
          </w:p>
        </w:tc>
        <w:tc>
          <w:tcPr>
            <w:tcW w:w="7380" w:type="dxa"/>
            <w:vAlign w:val="center"/>
          </w:tcPr>
          <w:p w14:paraId="236B66EB" w14:textId="531996EA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Analyse der Vorplanung, Entwurfsplanung sowie sonstiger Planungsunterlagen hinsichtlich Sicherheitsrisiken und Gesundheitsschutzaspekten stellt eine wesentliche Grundlage der Arbeitsschutzplanung und -koordination dar. Dabei gilt es bereits im Vorfeld</w:t>
            </w:r>
            <w:r w:rsidR="00A713B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mögliche Lösungen und Maßnahmen aufzuzeigen</w:t>
            </w:r>
            <w:r w:rsidRPr="00F0325E">
              <w:rPr>
                <w:rFonts w:ascii="Arial" w:hAnsi="Arial" w:cs="Arial"/>
                <w:sz w:val="20"/>
                <w:szCs w:val="20"/>
              </w:rPr>
              <w:t>. Ergänzende Datenrecherche</w:t>
            </w:r>
            <w:r w:rsidR="00CE2C8E" w:rsidRPr="00F0325E">
              <w:rPr>
                <w:rFonts w:ascii="Arial" w:hAnsi="Arial" w:cs="Arial"/>
                <w:sz w:val="20"/>
                <w:szCs w:val="20"/>
              </w:rPr>
              <w:t>,</w:t>
            </w:r>
            <w:r w:rsidRPr="00F0325E">
              <w:rPr>
                <w:rFonts w:ascii="Arial" w:hAnsi="Arial" w:cs="Arial"/>
                <w:sz w:val="20"/>
                <w:szCs w:val="20"/>
              </w:rPr>
              <w:t xml:space="preserve"> z.</w:t>
            </w:r>
            <w:r w:rsidR="00CE2C8E" w:rsidRPr="00F032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25E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F0325E" w:rsidRPr="00F0325E"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Pr="00F0325E">
              <w:rPr>
                <w:rFonts w:ascii="Arial" w:hAnsi="Arial" w:cs="Arial"/>
                <w:sz w:val="20"/>
                <w:szCs w:val="20"/>
              </w:rPr>
              <w:t>Sicherheitsaspekte</w:t>
            </w:r>
            <w:r w:rsidR="00F0325E" w:rsidRPr="00F0325E">
              <w:rPr>
                <w:rFonts w:ascii="Arial" w:hAnsi="Arial" w:cs="Arial"/>
                <w:sz w:val="20"/>
                <w:szCs w:val="20"/>
              </w:rPr>
              <w:t>n</w:t>
            </w:r>
            <w:r w:rsidRPr="00F0325E">
              <w:rPr>
                <w:rFonts w:ascii="Arial" w:hAnsi="Arial" w:cs="Arial"/>
                <w:sz w:val="20"/>
                <w:szCs w:val="20"/>
              </w:rPr>
              <w:t xml:space="preserve"> von Bauwerken usw. </w:t>
            </w:r>
            <w:r w:rsidR="00F0325E" w:rsidRPr="00F0325E">
              <w:rPr>
                <w:rFonts w:ascii="Arial" w:hAnsi="Arial" w:cs="Arial"/>
                <w:sz w:val="20"/>
                <w:szCs w:val="20"/>
              </w:rPr>
              <w:t>E</w:t>
            </w:r>
            <w:r w:rsidRPr="00F0325E">
              <w:rPr>
                <w:rFonts w:ascii="Arial" w:hAnsi="Arial" w:cs="Arial"/>
                <w:sz w:val="20"/>
                <w:szCs w:val="20"/>
              </w:rPr>
              <w:t>rgänzend sind eventuelle Kostenwirkungen aufzuzeigen</w:t>
            </w:r>
            <w:r w:rsidR="00CE2C8E" w:rsidRPr="00F032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7CA5" w14:paraId="4938F194" w14:textId="77777777">
        <w:trPr>
          <w:cantSplit/>
          <w:trHeight w:val="402"/>
        </w:trPr>
        <w:tc>
          <w:tcPr>
            <w:tcW w:w="822" w:type="dxa"/>
            <w:vAlign w:val="center"/>
          </w:tcPr>
          <w:p w14:paraId="5178AEE0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420" w:type="dxa"/>
            <w:vAlign w:val="center"/>
          </w:tcPr>
          <w:p w14:paraId="1DD9A676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1D3C39A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Grundlagen für de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-Plan</w:t>
            </w:r>
          </w:p>
        </w:tc>
        <w:tc>
          <w:tcPr>
            <w:tcW w:w="7380" w:type="dxa"/>
            <w:vAlign w:val="center"/>
          </w:tcPr>
          <w:p w14:paraId="7403B067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Basis der aus zu Zeile 900 gewonnenen Erkenntnisse sind die Grundlagen für einen Sicherheits- und Gesundheitsschutzplan zu erarbeiten und zu dokumentieren (siehe Anhang A-9.1.12). Hierzu sind mögliche Gefahrenquellen zu benennen, Vermeidungsstrategien zu empfehlen, Lösungen aufzuzeigen sowie konkrete Arbeits</w:t>
            </w:r>
            <w:r w:rsidR="00CE2C8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chutzmaßnahmen zu benennen. Für die Erstellung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-Planes müssen alle aus den Wechselwirkungen mit sonstigen betrieblichen Vorgängen sowie auf den Betriebsablauf bzw. auf die Arbeitssicherheit einwirkenden Faktoren (z.</w:t>
            </w:r>
            <w:r w:rsidR="00CE2C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B. Nachbarbaustellen /-räumstellen; Verkehr usw.) benannt und berücksichtigt werden. Die Erkenntnisse zu den Belangen des Arbeitsschutzes sollten in die Baustellenordnung und bei der Baustelleneinrichtung einbezogen werden.</w:t>
            </w:r>
          </w:p>
          <w:p w14:paraId="4C9347DE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Soweit die Aufstellung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-Planes und die Koordination in der Ausführungsphase dem gewerblichen Unternehmer übertragen wurde, ist der eingesetzte Koordinator einzuweisen.</w:t>
            </w:r>
          </w:p>
        </w:tc>
      </w:tr>
      <w:tr w:rsidR="00137CA5" w14:paraId="48461856" w14:textId="77777777">
        <w:trPr>
          <w:cantSplit/>
          <w:trHeight w:val="402"/>
        </w:trPr>
        <w:tc>
          <w:tcPr>
            <w:tcW w:w="822" w:type="dxa"/>
            <w:vAlign w:val="center"/>
          </w:tcPr>
          <w:p w14:paraId="2898A41E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3420" w:type="dxa"/>
            <w:vAlign w:val="center"/>
          </w:tcPr>
          <w:p w14:paraId="02DCD537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CEC48F0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Planungsunterstützung</w:t>
            </w:r>
          </w:p>
        </w:tc>
        <w:tc>
          <w:tcPr>
            <w:tcW w:w="7380" w:type="dxa"/>
            <w:vAlign w:val="center"/>
          </w:tcPr>
          <w:p w14:paraId="3FB7149A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Hinwirken auf die angemessene Berücksichtigung der ermittelten Gefahrenpotenziale bei der Ausführungs- und Terminplanung.</w:t>
            </w:r>
          </w:p>
          <w:p w14:paraId="6D9E3AA0" w14:textId="17BF6C25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Berücksichtigung der aus der Analyse resultierenden Maßnahmen in der Ausführungs- und Ablaufplanung</w:t>
            </w:r>
            <w:r w:rsidR="00CE2C8E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1836D7CB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Berücksichtigung von Sicherheitsaspekten bei der Nachnutzung.</w:t>
            </w:r>
          </w:p>
          <w:p w14:paraId="0B013475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der Definition kostenwirksamer Arbeitsschutzmaßnahmen sind diese den Planungsschritten 255, 320, 770 zuzuarbeiten</w:t>
            </w:r>
            <w:r w:rsidR="00CE2C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7CA5" w14:paraId="649F3BEB" w14:textId="77777777">
        <w:trPr>
          <w:cantSplit/>
          <w:trHeight w:val="402"/>
        </w:trPr>
        <w:tc>
          <w:tcPr>
            <w:tcW w:w="822" w:type="dxa"/>
            <w:vAlign w:val="center"/>
          </w:tcPr>
          <w:p w14:paraId="44207F0C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420" w:type="dxa"/>
            <w:vAlign w:val="center"/>
          </w:tcPr>
          <w:p w14:paraId="2DB6C71A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800FED2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Mitwirkung bei der Vergabevorbereitung</w:t>
            </w:r>
          </w:p>
        </w:tc>
        <w:tc>
          <w:tcPr>
            <w:tcW w:w="7380" w:type="dxa"/>
            <w:vAlign w:val="center"/>
          </w:tcPr>
          <w:p w14:paraId="393C97FB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Aufnahme der Erkenntnisse aus der Analyse, den Anforderungen an den Sicherheits- und Gesundheitsplan sowie anderer sicherheitsrelevanter Aspekte und Anforderungen in die Ausschreibungsunterlagen.</w:t>
            </w:r>
          </w:p>
        </w:tc>
      </w:tr>
      <w:tr w:rsidR="00137CA5" w14:paraId="5D543328" w14:textId="77777777">
        <w:trPr>
          <w:cantSplit/>
          <w:trHeight w:val="402"/>
        </w:trPr>
        <w:tc>
          <w:tcPr>
            <w:tcW w:w="822" w:type="dxa"/>
            <w:vAlign w:val="center"/>
          </w:tcPr>
          <w:p w14:paraId="4BCA8801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3420" w:type="dxa"/>
            <w:vAlign w:val="center"/>
          </w:tcPr>
          <w:p w14:paraId="33D05BD7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B6019E6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Mitwirkung bei der Angebotsprüfung </w:t>
            </w:r>
          </w:p>
        </w:tc>
        <w:tc>
          <w:tcPr>
            <w:tcW w:w="7380" w:type="dxa"/>
            <w:vAlign w:val="center"/>
          </w:tcPr>
          <w:p w14:paraId="10CE81BF" w14:textId="77777777" w:rsidR="00137CA5" w:rsidRDefault="0013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Prüfung der Angebote hinsichtlich der Erfüllung der notwendigen arbeits</w:t>
            </w:r>
            <w:r w:rsidR="00CE2C8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chutzbezogenen Voraussetzungen und Qualifikationen</w:t>
            </w:r>
          </w:p>
        </w:tc>
      </w:tr>
    </w:tbl>
    <w:p w14:paraId="023B7D45" w14:textId="77777777" w:rsidR="00137CA5" w:rsidRDefault="00137CA5">
      <w:pPr>
        <w:rPr>
          <w:rFonts w:ascii="Arial" w:hAnsi="Arial" w:cs="Arial"/>
        </w:rPr>
      </w:pPr>
    </w:p>
    <w:sectPr w:rsidR="00137CA5" w:rsidSect="00137CA5">
      <w:pgSz w:w="16838" w:h="11906" w:orient="landscape" w:code="9"/>
      <w:pgMar w:top="1418" w:right="1418" w:bottom="9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B3935"/>
    <w:multiLevelType w:val="hybridMultilevel"/>
    <w:tmpl w:val="E6B68A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026CB1"/>
    <w:multiLevelType w:val="multilevel"/>
    <w:tmpl w:val="644AE5F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5813D2D"/>
    <w:multiLevelType w:val="hybridMultilevel"/>
    <w:tmpl w:val="2D045510"/>
    <w:lvl w:ilvl="0" w:tplc="5DA60B36">
      <w:numFmt w:val="bullet"/>
      <w:pStyle w:val="Aufzhlung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C57E74"/>
    <w:multiLevelType w:val="hybridMultilevel"/>
    <w:tmpl w:val="DE32BBD4"/>
    <w:lvl w:ilvl="0" w:tplc="0407000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B01112"/>
    <w:multiLevelType w:val="hybridMultilevel"/>
    <w:tmpl w:val="DE32BB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421D2D"/>
    <w:multiLevelType w:val="hybridMultilevel"/>
    <w:tmpl w:val="EA5A2EB4"/>
    <w:lvl w:ilvl="0" w:tplc="5D04C6A2">
      <w:start w:val="1"/>
      <w:numFmt w:val="bullet"/>
      <w:pStyle w:val="Aufzhlung2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771CDA"/>
    <w:multiLevelType w:val="multilevel"/>
    <w:tmpl w:val="4EE4DA5C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8" w15:restartNumberingAfterBreak="0">
    <w:nsid w:val="28921F8B"/>
    <w:multiLevelType w:val="multilevel"/>
    <w:tmpl w:val="644AE5F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256487A"/>
    <w:multiLevelType w:val="multilevel"/>
    <w:tmpl w:val="4EE4DA5C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0" w15:restartNumberingAfterBreak="0">
    <w:nsid w:val="3C4F642F"/>
    <w:multiLevelType w:val="hybridMultilevel"/>
    <w:tmpl w:val="7A9ACDB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433284"/>
    <w:multiLevelType w:val="multilevel"/>
    <w:tmpl w:val="644AE5F6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4B5C71"/>
    <w:multiLevelType w:val="hybridMultilevel"/>
    <w:tmpl w:val="64E05B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5D73D8"/>
    <w:multiLevelType w:val="hybridMultilevel"/>
    <w:tmpl w:val="D45696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4750C4"/>
    <w:multiLevelType w:val="hybridMultilevel"/>
    <w:tmpl w:val="4D763E66"/>
    <w:lvl w:ilvl="0" w:tplc="04070001">
      <w:start w:val="1"/>
      <w:numFmt w:val="bullet"/>
      <w:lvlText w:val=""/>
      <w:lvlJc w:val="left"/>
      <w:pPr>
        <w:tabs>
          <w:tab w:val="num" w:pos="336"/>
        </w:tabs>
        <w:ind w:left="336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9D3D4B"/>
    <w:multiLevelType w:val="multilevel"/>
    <w:tmpl w:val="4EE4DA5C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bullet"/>
      <w:lvlText w:val=""/>
      <w:legacy w:legacy="1" w:legacySpace="0" w:legacyIndent="318"/>
      <w:lvlJc w:val="left"/>
      <w:pPr>
        <w:ind w:left="1758" w:hanging="318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18"/>
        <w:lvlJc w:val="left"/>
        <w:pPr>
          <w:ind w:left="318" w:hanging="318"/>
        </w:pPr>
        <w:rPr>
          <w:rFonts w:ascii="Symbol" w:hAnsi="Symbol" w:cs="Symbol" w:hint="default"/>
        </w:rPr>
      </w:lvl>
    </w:lvlOverride>
  </w:num>
  <w:num w:numId="6">
    <w:abstractNumId w:val="13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A5"/>
    <w:rsid w:val="00137CA5"/>
    <w:rsid w:val="006F68DB"/>
    <w:rsid w:val="00895E9A"/>
    <w:rsid w:val="00A713BC"/>
    <w:rsid w:val="00B2703F"/>
    <w:rsid w:val="00CE2C8E"/>
    <w:rsid w:val="00F0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D8AC3"/>
  <w15:docId w15:val="{6CB85816-13E4-4698-BF81-7D5A142B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numPr>
        <w:numId w:val="1"/>
      </w:numPr>
      <w:autoSpaceDE w:val="0"/>
      <w:autoSpaceDN w:val="0"/>
      <w:adjustRightInd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6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  <w:lang w:val="en-US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jc w:val="both"/>
      <w:outlineLvl w:val="4"/>
    </w:pPr>
    <w:rPr>
      <w:rFonts w:ascii="Arial" w:hAnsi="Arial" w:cs="Arial"/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  <w:lang w:val="en-US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jc w:val="both"/>
      <w:outlineLvl w:val="7"/>
    </w:pPr>
    <w:rPr>
      <w:i/>
      <w:iCs/>
      <w:lang w:val="en-US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C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7CA5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37CA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37CA5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7CA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7CA5"/>
    <w:rPr>
      <w:rFonts w:asciiTheme="majorHAnsi" w:eastAsiaTheme="majorEastAsia" w:hAnsiTheme="majorHAnsi" w:cstheme="majorBidi"/>
    </w:rPr>
  </w:style>
  <w:style w:type="paragraph" w:customStyle="1" w:styleId="Aufzhlung">
    <w:name w:val="Aufzählung"/>
    <w:basedOn w:val="Standard"/>
    <w:uiPriority w:val="99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Aufzhlung2">
    <w:name w:val="Aufzählung 2"/>
    <w:basedOn w:val="Standard"/>
    <w:uiPriority w:val="99"/>
    <w:pPr>
      <w:numPr>
        <w:numId w:val="3"/>
      </w:numPr>
      <w:spacing w:after="120" w:line="312" w:lineRule="auto"/>
      <w:jc w:val="both"/>
    </w:pPr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360"/>
      </w:tabs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37CA5"/>
    <w:rPr>
      <w:rFonts w:ascii="Times New Roman" w:hAnsi="Times New Roman"/>
      <w:sz w:val="24"/>
      <w:szCs w:val="24"/>
    </w:rPr>
  </w:style>
  <w:style w:type="paragraph" w:styleId="Textkrper3">
    <w:name w:val="Body Text 3"/>
    <w:basedOn w:val="Standard"/>
    <w:link w:val="Textkrper3Zchn"/>
    <w:uiPriority w:val="99"/>
    <w:pPr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37CA5"/>
    <w:rPr>
      <w:rFonts w:ascii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CA5"/>
    <w:rPr>
      <w:rFonts w:ascii="Times New Roman" w:hAnsi="Times New Roman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pPr>
      <w:ind w:left="-24"/>
    </w:pPr>
    <w:rPr>
      <w:rFonts w:ascii="Arial" w:hAnsi="Arial" w:cs="Arial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37CA5"/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7CA5"/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68D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68DB"/>
    <w:pPr>
      <w:widowControl/>
      <w:autoSpaceDE/>
      <w:autoSpaceDN/>
      <w:adjustRightInd/>
      <w:spacing w:after="0"/>
      <w:jc w:val="left"/>
    </w:pPr>
    <w:rPr>
      <w:rFonts w:ascii="Times New Roman" w:hAnsi="Times New Roman" w:cstheme="minorBid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68DB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8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Abschnitt 1: Leistungsbild „Räumkonzept“ (ES-Bau)</vt:lpstr>
    </vt:vector>
  </TitlesOfParts>
  <Company> 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Abschnitt 1: Leistungsbild „Räumkonzept“ (ES-Bau)</dc:title>
  <dc:subject/>
  <dc:creator>Brakemeier, Ulrich</dc:creator>
  <cp:keywords/>
  <dc:description/>
  <cp:lastModifiedBy>Gastck</cp:lastModifiedBy>
  <cp:revision>5</cp:revision>
  <dcterms:created xsi:type="dcterms:W3CDTF">2019-05-20T07:17:00Z</dcterms:created>
  <dcterms:modified xsi:type="dcterms:W3CDTF">2020-05-15T08:55:00Z</dcterms:modified>
</cp:coreProperties>
</file>